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AAD84" w14:textId="77777777" w:rsidR="000318BC" w:rsidRDefault="000318BC" w:rsidP="000318BC">
      <w:bookmarkStart w:id="0" w:name="_GoBack"/>
      <w:bookmarkEnd w:id="0"/>
      <w:r>
        <w:rPr>
          <w:b/>
        </w:rPr>
        <w:t>What is a Faculty Learning Community?</w:t>
      </w:r>
    </w:p>
    <w:p w14:paraId="676F728C" w14:textId="77777777" w:rsidR="000318BC" w:rsidRPr="00983268" w:rsidRDefault="000318BC" w:rsidP="000318BC">
      <w:pPr>
        <w:spacing w:line="240" w:lineRule="auto"/>
        <w:contextualSpacing/>
      </w:pPr>
      <w:r>
        <w:t xml:space="preserve">A Faculty Learning Community is </w:t>
      </w:r>
      <w:r w:rsidRPr="00983268">
        <w:t xml:space="preserve">a group of trans-disciplinary faculty, graduate students and professional staff group of size 6-15 or more (8 to 12 is the recommended size) engaging </w:t>
      </w:r>
    </w:p>
    <w:p w14:paraId="398A5DA5" w14:textId="77777777" w:rsidR="000318BC" w:rsidRPr="00983268" w:rsidRDefault="000318BC" w:rsidP="000318BC">
      <w:pPr>
        <w:spacing w:line="240" w:lineRule="auto"/>
        <w:contextualSpacing/>
      </w:pPr>
      <w:proofErr w:type="gramStart"/>
      <w:r w:rsidRPr="00983268">
        <w:t>in</w:t>
      </w:r>
      <w:proofErr w:type="gramEnd"/>
      <w:r w:rsidRPr="00983268">
        <w:t xml:space="preserve"> an active, collaborative, yearlong program with a curriculum about enhancing </w:t>
      </w:r>
    </w:p>
    <w:p w14:paraId="0C37554B" w14:textId="77777777" w:rsidR="000318BC" w:rsidRDefault="000318BC" w:rsidP="000318BC">
      <w:pPr>
        <w:spacing w:line="240" w:lineRule="auto"/>
        <w:contextualSpacing/>
      </w:pPr>
      <w:proofErr w:type="gramStart"/>
      <w:r w:rsidRPr="00983268">
        <w:t>teaching</w:t>
      </w:r>
      <w:proofErr w:type="gramEnd"/>
      <w:r w:rsidRPr="00983268">
        <w:t xml:space="preserve"> and learning and with frequent seminars and activities that provide learning, development, </w:t>
      </w:r>
      <w:proofErr w:type="spellStart"/>
      <w:r w:rsidRPr="00983268">
        <w:t>transdisciplinarity</w:t>
      </w:r>
      <w:proofErr w:type="spellEnd"/>
      <w:r w:rsidRPr="00983268">
        <w:t>, the scholarship of teaching and learning, and community building (Cox, 2014).</w:t>
      </w:r>
    </w:p>
    <w:p w14:paraId="2000DD34" w14:textId="77777777" w:rsidR="000318BC" w:rsidRDefault="000318BC" w:rsidP="000318BC">
      <w:pPr>
        <w:pStyle w:val="APACenteredText"/>
        <w:jc w:val="left"/>
      </w:pPr>
    </w:p>
    <w:p w14:paraId="6C72B340" w14:textId="59177DE9" w:rsidR="007737A2" w:rsidRPr="000318BC" w:rsidRDefault="007737A2" w:rsidP="000318BC">
      <w:pPr>
        <w:pStyle w:val="APACenteredText"/>
        <w:jc w:val="left"/>
        <w:rPr>
          <w:b/>
        </w:rPr>
      </w:pPr>
      <w:r w:rsidRPr="000318BC">
        <w:rPr>
          <w:b/>
        </w:rPr>
        <w:t>References</w:t>
      </w:r>
    </w:p>
    <w:p w14:paraId="55EFEE35" w14:textId="59C0931C" w:rsidR="007737A2" w:rsidRDefault="007737A2" w:rsidP="000318BC">
      <w:pPr>
        <w:spacing w:line="240" w:lineRule="auto"/>
        <w:ind w:left="720" w:hanging="720"/>
        <w:rPr>
          <w:rFonts w:eastAsia="Calibri" w:cs="Times New Roman"/>
        </w:rPr>
      </w:pPr>
      <w:bookmarkStart w:id="1" w:name="ReferencesBookmark"/>
      <w:r w:rsidRPr="0004737E">
        <w:rPr>
          <w:rFonts w:eastAsia="Times New Roman" w:cs="Times New Roman"/>
          <w:bCs/>
        </w:rPr>
        <w:t>Bickerstaff, S., Edgecombe, N., &amp; the Scaling Innovations Team (2012). Pathways to faculty learning and pedagogical improvement</w:t>
      </w:r>
      <w:r w:rsidRPr="0004737E">
        <w:rPr>
          <w:rFonts w:eastAsia="Calibri" w:cs="Times New Roman"/>
        </w:rPr>
        <w:t xml:space="preserve">. </w:t>
      </w:r>
      <w:r w:rsidRPr="0004737E">
        <w:rPr>
          <w:rFonts w:eastAsia="Calibri" w:cs="Times New Roman"/>
          <w:i/>
        </w:rPr>
        <w:t>Inside Out, 1</w:t>
      </w:r>
      <w:r w:rsidRPr="0004737E">
        <w:rPr>
          <w:rFonts w:eastAsia="Calibri" w:cs="Times New Roman"/>
        </w:rPr>
        <w:t xml:space="preserve">(3). Retrieved from </w:t>
      </w:r>
      <w:hyperlink r:id="rId6" w:history="1">
        <w:r w:rsidR="000318BC" w:rsidRPr="004E18B3">
          <w:rPr>
            <w:rStyle w:val="Hyperlink"/>
            <w:rFonts w:eastAsia="Calibri" w:cs="Times New Roman"/>
          </w:rPr>
          <w:t>http://www.scalinginnovation.org/pathways-to-faculty-learning-and-pedagogical-improvement/</w:t>
        </w:r>
      </w:hyperlink>
    </w:p>
    <w:p w14:paraId="2B1B6C41" w14:textId="77777777" w:rsidR="000318BC" w:rsidRPr="0004737E" w:rsidRDefault="000318BC" w:rsidP="000318BC">
      <w:pPr>
        <w:spacing w:line="240" w:lineRule="auto"/>
        <w:ind w:left="720" w:hanging="720"/>
        <w:rPr>
          <w:rFonts w:eastAsia="Calibri" w:cs="Times New Roman"/>
        </w:rPr>
      </w:pPr>
    </w:p>
    <w:p w14:paraId="70925579" w14:textId="4BD87F73" w:rsidR="007737A2" w:rsidRDefault="007737A2" w:rsidP="000318BC">
      <w:pPr>
        <w:spacing w:line="240" w:lineRule="auto"/>
        <w:ind w:left="720" w:hanging="720"/>
        <w:rPr>
          <w:rFonts w:eastAsia="Calibri" w:cs="Times New Roman"/>
        </w:rPr>
      </w:pPr>
      <w:bookmarkStart w:id="2" w:name="_Toc426109732"/>
      <w:r w:rsidRPr="0004737E">
        <w:rPr>
          <w:rFonts w:eastAsia="Times New Roman" w:cs="Times New Roman"/>
          <w:bCs/>
        </w:rPr>
        <w:t xml:space="preserve">Bickerstaff, S., </w:t>
      </w:r>
      <w:proofErr w:type="spellStart"/>
      <w:r w:rsidRPr="0004737E">
        <w:rPr>
          <w:rFonts w:eastAsia="Times New Roman" w:cs="Times New Roman"/>
          <w:bCs/>
        </w:rPr>
        <w:t>Lontz</w:t>
      </w:r>
      <w:proofErr w:type="spellEnd"/>
      <w:r w:rsidRPr="0004737E">
        <w:rPr>
          <w:rFonts w:eastAsia="Times New Roman" w:cs="Times New Roman"/>
          <w:bCs/>
        </w:rPr>
        <w:t>, B., Cormier, M. S., &amp; Xu, D. (2014). Redesigning arithmetic for student success: Supporting faculty to teach in new ways</w:t>
      </w:r>
      <w:bookmarkEnd w:id="2"/>
      <w:r w:rsidRPr="0004737E">
        <w:rPr>
          <w:rFonts w:eastAsia="Calibri" w:cs="Times New Roman"/>
          <w:b/>
        </w:rPr>
        <w:t>.</w:t>
      </w:r>
      <w:r w:rsidRPr="0004737E">
        <w:rPr>
          <w:rFonts w:eastAsia="Calibri" w:cs="Times New Roman"/>
        </w:rPr>
        <w:t xml:space="preserve"> In </w:t>
      </w:r>
      <w:r w:rsidRPr="0004737E">
        <w:rPr>
          <w:rFonts w:eastAsia="Calibri" w:cs="Times New Roman"/>
          <w:i/>
        </w:rPr>
        <w:t xml:space="preserve">New directions for community colleges </w:t>
      </w:r>
      <w:r w:rsidRPr="0004737E">
        <w:rPr>
          <w:rFonts w:eastAsia="Calibri" w:cs="Times New Roman"/>
        </w:rPr>
        <w:t xml:space="preserve">(chapter 1). </w:t>
      </w:r>
      <w:proofErr w:type="spellStart"/>
      <w:proofErr w:type="gramStart"/>
      <w:r w:rsidRPr="0004737E">
        <w:rPr>
          <w:rFonts w:eastAsia="Calibri" w:cs="Times New Roman"/>
        </w:rPr>
        <w:t>doi</w:t>
      </w:r>
      <w:proofErr w:type="spellEnd"/>
      <w:proofErr w:type="gramEnd"/>
      <w:r w:rsidRPr="0004737E">
        <w:rPr>
          <w:rFonts w:eastAsia="Calibri" w:cs="Times New Roman"/>
        </w:rPr>
        <w:t>: 10.1002/cc.20106</w:t>
      </w:r>
    </w:p>
    <w:p w14:paraId="4B9E364B" w14:textId="77777777" w:rsidR="000318BC" w:rsidRPr="0004737E" w:rsidRDefault="000318BC" w:rsidP="000318BC">
      <w:pPr>
        <w:spacing w:line="240" w:lineRule="auto"/>
        <w:ind w:left="720" w:hanging="720"/>
        <w:rPr>
          <w:rFonts w:eastAsia="Calibri" w:cs="Times New Roman"/>
        </w:rPr>
      </w:pPr>
    </w:p>
    <w:p w14:paraId="7E36D451" w14:textId="77777777" w:rsidR="000318BC" w:rsidRDefault="007737A2" w:rsidP="000318BC">
      <w:pPr>
        <w:pStyle w:val="References"/>
        <w:spacing w:line="240" w:lineRule="auto"/>
      </w:pPr>
      <w:r>
        <w:rPr>
          <w:vanish/>
        </w:rPr>
        <w:t>Boyer E L 1990 Scholarship reconsidered: Priorities of the professoriate</w:t>
      </w:r>
      <w:r>
        <w:t xml:space="preserve">Boyer, E. L. (1990). </w:t>
      </w:r>
      <w:r>
        <w:rPr>
          <w:i/>
        </w:rPr>
        <w:t xml:space="preserve">Scholarship reconsidered: Priorities of the professoriate. </w:t>
      </w:r>
      <w:r>
        <w:t xml:space="preserve">San Francisco, CA: Jossey-Bass.  </w:t>
      </w:r>
    </w:p>
    <w:p w14:paraId="38E5E437" w14:textId="0F95BB15" w:rsidR="007737A2" w:rsidRPr="008F4C50" w:rsidRDefault="007737A2" w:rsidP="000318BC">
      <w:pPr>
        <w:pStyle w:val="References"/>
        <w:spacing w:line="240" w:lineRule="auto"/>
      </w:pPr>
      <w:r>
        <w:rPr>
          <w:vanish/>
        </w:rPr>
        <w:t>201906012106031180617571</w:t>
      </w:r>
    </w:p>
    <w:p w14:paraId="6670E320" w14:textId="187C1067" w:rsidR="007737A2" w:rsidRDefault="007737A2" w:rsidP="000318BC">
      <w:pPr>
        <w:pStyle w:val="References"/>
        <w:spacing w:line="240" w:lineRule="auto"/>
      </w:pPr>
      <w:r>
        <w:rPr>
          <w:vanish/>
        </w:rPr>
        <w:t>Cox M D 2004 Introduction to faculty learning communities.</w:t>
      </w:r>
      <w:r>
        <w:t xml:space="preserve">Cox, M. D. (2004). Introduction to faculty learning communities. </w:t>
      </w:r>
      <w:r>
        <w:rPr>
          <w:i/>
        </w:rPr>
        <w:t>New Directions for Teaching and Learning, 97</w:t>
      </w:r>
      <w:r>
        <w:t xml:space="preserve">, 5-23.  </w:t>
      </w:r>
    </w:p>
    <w:p w14:paraId="6A8E0553" w14:textId="77777777" w:rsidR="000318BC" w:rsidRDefault="000318BC" w:rsidP="000318BC">
      <w:pPr>
        <w:pStyle w:val="References"/>
        <w:spacing w:line="240" w:lineRule="auto"/>
      </w:pPr>
    </w:p>
    <w:p w14:paraId="13C637F7" w14:textId="77777777" w:rsidR="007737A2" w:rsidRPr="0004737E" w:rsidRDefault="007737A2" w:rsidP="000318BC">
      <w:pPr>
        <w:spacing w:line="240" w:lineRule="auto"/>
        <w:ind w:left="720" w:hanging="720"/>
        <w:rPr>
          <w:rFonts w:eastAsia="Calibri" w:cs="Times New Roman"/>
        </w:rPr>
      </w:pPr>
      <w:bookmarkStart w:id="3" w:name="_Toc426109733"/>
      <w:r w:rsidRPr="0004737E">
        <w:rPr>
          <w:rFonts w:eastAsia="Calibri" w:cs="Times New Roman"/>
        </w:rPr>
        <w:t xml:space="preserve">Cox, M. D. (2003a). Fostering the scholarship of teaching through faculty learning communities. </w:t>
      </w:r>
      <w:r w:rsidRPr="0004737E">
        <w:rPr>
          <w:rFonts w:eastAsia="Calibri" w:cs="Times New Roman"/>
          <w:i/>
        </w:rPr>
        <w:t>Journal on Excellence in College Teaching, 14</w:t>
      </w:r>
      <w:r w:rsidRPr="0004737E">
        <w:rPr>
          <w:rFonts w:eastAsia="Calibri" w:cs="Times New Roman"/>
        </w:rPr>
        <w:t>(2/3). 161-198.</w:t>
      </w:r>
      <w:r w:rsidRPr="0004737E">
        <w:rPr>
          <w:rFonts w:eastAsia="Calibri" w:cs="Times New Roman"/>
          <w:shd w:val="clear" w:color="auto" w:fill="FFFFFF"/>
        </w:rPr>
        <w:t xml:space="preserve"> Retrieved from http://w1.mtsu.edu/ltanditc/docs/facultylearningcommun08.pdf</w:t>
      </w:r>
      <w:bookmarkEnd w:id="3"/>
    </w:p>
    <w:p w14:paraId="752014C6" w14:textId="77777777" w:rsidR="000318BC" w:rsidRDefault="000318BC" w:rsidP="000318BC">
      <w:pPr>
        <w:spacing w:line="240" w:lineRule="auto"/>
        <w:ind w:left="720" w:hanging="720"/>
        <w:rPr>
          <w:rFonts w:eastAsia="Calibri" w:cs="Times New Roman"/>
        </w:rPr>
      </w:pPr>
    </w:p>
    <w:p w14:paraId="365DC371" w14:textId="656F2D0C" w:rsidR="007737A2" w:rsidRDefault="007737A2" w:rsidP="000318BC">
      <w:pPr>
        <w:spacing w:line="240" w:lineRule="auto"/>
        <w:ind w:left="720" w:hanging="720"/>
        <w:rPr>
          <w:rFonts w:eastAsia="Calibri" w:cs="Times New Roman"/>
        </w:rPr>
      </w:pPr>
      <w:r w:rsidRPr="0004737E">
        <w:rPr>
          <w:rFonts w:eastAsia="Calibri" w:cs="Times New Roman"/>
        </w:rPr>
        <w:t xml:space="preserve">Cox, M. D. (2003b). Proven faculty development tools that foster the scholarship of teaching in faculty learning communities. </w:t>
      </w:r>
      <w:r w:rsidRPr="0004737E">
        <w:rPr>
          <w:rFonts w:eastAsia="Calibri" w:cs="Times New Roman"/>
          <w:i/>
        </w:rPr>
        <w:t xml:space="preserve">To Improve the Academy, 21, </w:t>
      </w:r>
      <w:r w:rsidRPr="0004737E">
        <w:rPr>
          <w:rFonts w:eastAsia="Calibri" w:cs="Times New Roman"/>
        </w:rPr>
        <w:t>109-142.</w:t>
      </w:r>
    </w:p>
    <w:p w14:paraId="60A0B393" w14:textId="77777777" w:rsidR="000318BC" w:rsidRDefault="000318BC" w:rsidP="000318BC">
      <w:pPr>
        <w:spacing w:line="240" w:lineRule="auto"/>
        <w:ind w:left="720" w:hanging="720"/>
        <w:rPr>
          <w:rFonts w:eastAsia="Times New Roman" w:cs="Times New Roman"/>
          <w:bCs/>
        </w:rPr>
      </w:pPr>
      <w:bookmarkStart w:id="4" w:name="_Toc426109736"/>
    </w:p>
    <w:p w14:paraId="461F8F2E" w14:textId="6AC9F3F3" w:rsidR="007737A2" w:rsidRPr="003B51C4" w:rsidRDefault="007737A2" w:rsidP="000318BC">
      <w:pPr>
        <w:spacing w:line="240" w:lineRule="auto"/>
        <w:ind w:left="720" w:hanging="720"/>
      </w:pPr>
      <w:r w:rsidRPr="0004737E">
        <w:rPr>
          <w:rFonts w:eastAsia="Times New Roman" w:cs="Times New Roman"/>
          <w:bCs/>
        </w:rPr>
        <w:t>Daly, C. J. (2011). Faculty learning communities: Addressing the professional development needs of faculty and the learning needs of students</w:t>
      </w:r>
      <w:bookmarkEnd w:id="4"/>
      <w:r w:rsidRPr="0004737E">
        <w:rPr>
          <w:rFonts w:eastAsia="Calibri" w:cs="Times New Roman"/>
          <w:b/>
          <w:shd w:val="clear" w:color="auto" w:fill="FFFFFF"/>
        </w:rPr>
        <w:t>.</w:t>
      </w:r>
      <w:r w:rsidRPr="0004737E">
        <w:rPr>
          <w:rFonts w:eastAsia="Calibri" w:cs="Times New Roman"/>
          <w:shd w:val="clear" w:color="auto" w:fill="FFFFFF"/>
        </w:rPr>
        <w:t xml:space="preserve"> </w:t>
      </w:r>
      <w:r w:rsidRPr="0004737E">
        <w:rPr>
          <w:rFonts w:eastAsia="Calibri" w:cs="Times New Roman"/>
          <w:i/>
          <w:shd w:val="clear" w:color="auto" w:fill="FFFFFF"/>
        </w:rPr>
        <w:t xml:space="preserve">Currents in Teaching and Learning, 4 </w:t>
      </w:r>
      <w:r w:rsidRPr="0004737E">
        <w:rPr>
          <w:rFonts w:eastAsia="Calibri" w:cs="Times New Roman"/>
          <w:shd w:val="clear" w:color="auto" w:fill="FFFFFF"/>
        </w:rPr>
        <w:t>(1), 3-16. Retrieved from http://www.worcester.edu/ Currents/ Archives/Volume_4_Number_1/CURRENTSV4N1DalyP3.pdf</w:t>
      </w:r>
      <w:r>
        <w:rPr>
          <w:vanish/>
        </w:rPr>
        <w:t>2019060121073575541138</w:t>
      </w:r>
    </w:p>
    <w:p w14:paraId="38832A42" w14:textId="77777777" w:rsidR="000318BC" w:rsidRDefault="000318BC" w:rsidP="000318BC">
      <w:pPr>
        <w:pStyle w:val="References"/>
        <w:spacing w:line="240" w:lineRule="auto"/>
      </w:pPr>
    </w:p>
    <w:p w14:paraId="43C4BC57" w14:textId="101609D0" w:rsidR="007737A2" w:rsidRPr="00AE165D" w:rsidRDefault="007737A2" w:rsidP="000318BC">
      <w:pPr>
        <w:pStyle w:val="References"/>
        <w:spacing w:line="240" w:lineRule="auto"/>
      </w:pPr>
      <w:r>
        <w:rPr>
          <w:vanish/>
        </w:rPr>
        <w:t>Ferris State University  Faculty learning communites</w:t>
      </w:r>
      <w:r>
        <w:t>Ferris State University. (</w:t>
      </w:r>
      <w:proofErr w:type="spellStart"/>
      <w:r>
        <w:t>n.d.a</w:t>
      </w:r>
      <w:proofErr w:type="spellEnd"/>
      <w:r>
        <w:t xml:space="preserve">). Faculty learning communities. Retrieved from https://www.ferris.edu/HTMLS/academics/center/facultylearningcommunityprogram.htm </w:t>
      </w:r>
      <w:r>
        <w:rPr>
          <w:vanish/>
        </w:rPr>
        <w:t>20190601210939351707935</w:t>
      </w:r>
    </w:p>
    <w:p w14:paraId="5CB18FA6" w14:textId="77777777" w:rsidR="000318BC" w:rsidRDefault="000318BC" w:rsidP="000318BC">
      <w:pPr>
        <w:spacing w:line="240" w:lineRule="auto"/>
        <w:ind w:left="720" w:hanging="720"/>
        <w:rPr>
          <w:rFonts w:eastAsia="Times New Roman" w:cs="Times New Roman"/>
          <w:bCs/>
        </w:rPr>
      </w:pPr>
    </w:p>
    <w:p w14:paraId="6D7A2D45" w14:textId="1AF8FA93" w:rsidR="007737A2" w:rsidRPr="003B4A7B" w:rsidRDefault="007737A2" w:rsidP="000318BC">
      <w:pPr>
        <w:spacing w:line="240" w:lineRule="auto"/>
        <w:ind w:left="720" w:hanging="720"/>
        <w:rPr>
          <w:rFonts w:eastAsia="Times New Roman" w:cs="Times New Roman"/>
          <w:bCs/>
        </w:rPr>
      </w:pPr>
      <w:r>
        <w:rPr>
          <w:rFonts w:eastAsia="Times New Roman" w:cs="Times New Roman"/>
          <w:bCs/>
          <w:vanish/>
        </w:rPr>
        <w:t>Ganter S Barker W 2004 curriculum foundations project: Voices of the partner disciplines</w:t>
      </w:r>
      <w:r>
        <w:rPr>
          <w:rFonts w:eastAsia="Times New Roman" w:cs="Times New Roman"/>
          <w:bCs/>
        </w:rPr>
        <w:t xml:space="preserve">Ganter, S., &amp; Barker, W. (Eds.). (2004). </w:t>
      </w:r>
      <w:r>
        <w:rPr>
          <w:rFonts w:eastAsia="Times New Roman" w:cs="Times New Roman"/>
          <w:bCs/>
          <w:i/>
        </w:rPr>
        <w:t xml:space="preserve">The curriculum foundations project: Voices of the partner disciplines. </w:t>
      </w:r>
      <w:r>
        <w:rPr>
          <w:rFonts w:eastAsia="Times New Roman" w:cs="Times New Roman"/>
          <w:bCs/>
        </w:rPr>
        <w:t xml:space="preserve">Washington, DC: Mathematical Association of America.  </w:t>
      </w:r>
      <w:r>
        <w:rPr>
          <w:rFonts w:eastAsia="Times New Roman" w:cs="Times New Roman"/>
          <w:bCs/>
          <w:vanish/>
        </w:rPr>
        <w:t>20190611093806691603899</w:t>
      </w:r>
    </w:p>
    <w:p w14:paraId="03279DD7" w14:textId="77777777" w:rsidR="007737A2" w:rsidRPr="003662B8" w:rsidRDefault="007737A2" w:rsidP="000318BC">
      <w:pPr>
        <w:spacing w:line="240" w:lineRule="auto"/>
        <w:ind w:left="720" w:hanging="720"/>
        <w:rPr>
          <w:rFonts w:eastAsia="Times New Roman" w:cs="Times New Roman"/>
          <w:bCs/>
        </w:rPr>
      </w:pPr>
      <w:r>
        <w:rPr>
          <w:rFonts w:eastAsia="Times New Roman" w:cs="Times New Roman"/>
          <w:bCs/>
          <w:vanish/>
        </w:rPr>
        <w:lastRenderedPageBreak/>
        <w:t>Ganter S Haver W E 2011 Partner discipline recommentations for introductory college mathematics and the implications for college algebra</w:t>
      </w:r>
      <w:r>
        <w:rPr>
          <w:rFonts w:eastAsia="Times New Roman" w:cs="Times New Roman"/>
          <w:bCs/>
        </w:rPr>
        <w:t xml:space="preserve">Ganter, S., &amp; Haver, W. E. (Eds.). (2011). </w:t>
      </w:r>
      <w:r>
        <w:rPr>
          <w:rFonts w:eastAsia="Times New Roman" w:cs="Times New Roman"/>
          <w:bCs/>
          <w:i/>
        </w:rPr>
        <w:t xml:space="preserve">Partner discipline recommendations for introductory college mathematics and the implications for college algebra. </w:t>
      </w:r>
      <w:r>
        <w:rPr>
          <w:rFonts w:eastAsia="Times New Roman" w:cs="Times New Roman"/>
          <w:bCs/>
        </w:rPr>
        <w:t xml:space="preserve">Washington, DC: Mathematical Association of America.  </w:t>
      </w:r>
      <w:r>
        <w:rPr>
          <w:rFonts w:eastAsia="Times New Roman" w:cs="Times New Roman"/>
          <w:bCs/>
          <w:vanish/>
        </w:rPr>
        <w:t>20190611094034831980348</w:t>
      </w:r>
    </w:p>
    <w:p w14:paraId="234A947E" w14:textId="77777777" w:rsidR="000318BC" w:rsidRDefault="000318BC" w:rsidP="000318BC">
      <w:pPr>
        <w:spacing w:line="240" w:lineRule="auto"/>
        <w:ind w:left="720" w:hanging="720"/>
        <w:rPr>
          <w:rFonts w:eastAsia="Times New Roman" w:cs="Times New Roman"/>
          <w:bCs/>
        </w:rPr>
      </w:pPr>
    </w:p>
    <w:p w14:paraId="21DEF8A1" w14:textId="22E0C0A1" w:rsidR="007737A2" w:rsidRPr="003010ED" w:rsidRDefault="007737A2" w:rsidP="000318BC">
      <w:pPr>
        <w:spacing w:line="240" w:lineRule="auto"/>
        <w:ind w:left="720" w:hanging="720"/>
        <w:rPr>
          <w:rFonts w:eastAsia="Times New Roman" w:cs="Times New Roman"/>
          <w:bCs/>
        </w:rPr>
      </w:pPr>
      <w:r>
        <w:rPr>
          <w:rFonts w:eastAsia="Times New Roman" w:cs="Times New Roman"/>
          <w:bCs/>
          <w:vanish/>
        </w:rPr>
        <w:t>Goto S Marshall T Gaule S  Assessment of faculty learning communities: Considering social dimensions of participant choice.</w:t>
      </w:r>
      <w:proofErr w:type="spellStart"/>
      <w:r>
        <w:rPr>
          <w:rFonts w:eastAsia="Times New Roman" w:cs="Times New Roman"/>
          <w:bCs/>
        </w:rPr>
        <w:t>Goto</w:t>
      </w:r>
      <w:proofErr w:type="spellEnd"/>
      <w:r>
        <w:rPr>
          <w:rFonts w:eastAsia="Times New Roman" w:cs="Times New Roman"/>
          <w:bCs/>
        </w:rPr>
        <w:t xml:space="preserve">, S., Marshall, T., &amp; </w:t>
      </w:r>
      <w:proofErr w:type="spellStart"/>
      <w:r>
        <w:rPr>
          <w:rFonts w:eastAsia="Times New Roman" w:cs="Times New Roman"/>
          <w:bCs/>
        </w:rPr>
        <w:t>Gaule</w:t>
      </w:r>
      <w:proofErr w:type="spellEnd"/>
      <w:r>
        <w:rPr>
          <w:rFonts w:eastAsia="Times New Roman" w:cs="Times New Roman"/>
          <w:bCs/>
        </w:rPr>
        <w:t xml:space="preserve">, S. (n.d.). Assessment of faculty learning communities: Considering social dimensions of participant choice. </w:t>
      </w:r>
      <w:r>
        <w:rPr>
          <w:rFonts w:eastAsia="Times New Roman" w:cs="Times New Roman"/>
          <w:bCs/>
          <w:i/>
        </w:rPr>
        <w:t>Learning Communities Journal, 2(1), 5-26</w:t>
      </w:r>
      <w:r>
        <w:rPr>
          <w:rFonts w:eastAsia="Times New Roman" w:cs="Times New Roman"/>
          <w:bCs/>
        </w:rPr>
        <w:t xml:space="preserve">.  </w:t>
      </w:r>
      <w:r>
        <w:rPr>
          <w:rFonts w:eastAsia="Times New Roman" w:cs="Times New Roman"/>
          <w:bCs/>
          <w:vanish/>
        </w:rPr>
        <w:t>20190611093501882072806</w:t>
      </w:r>
    </w:p>
    <w:p w14:paraId="56D5FA0A" w14:textId="77777777" w:rsidR="000318BC" w:rsidRDefault="000318BC" w:rsidP="000318BC">
      <w:pPr>
        <w:pStyle w:val="References"/>
        <w:spacing w:line="240" w:lineRule="auto"/>
      </w:pPr>
    </w:p>
    <w:p w14:paraId="01F502D3" w14:textId="7F2F5B7E" w:rsidR="007737A2" w:rsidRPr="00BC7B56" w:rsidRDefault="007737A2" w:rsidP="000318BC">
      <w:pPr>
        <w:pStyle w:val="References"/>
        <w:spacing w:line="240" w:lineRule="auto"/>
      </w:pPr>
      <w:proofErr w:type="spellStart"/>
      <w:r>
        <w:t>Gunert</w:t>
      </w:r>
      <w:proofErr w:type="spellEnd"/>
      <w:r>
        <w:t xml:space="preserve">-O’Brien, J., Mills, B.J., &amp; Cohen, M.W. (2008). </w:t>
      </w:r>
      <w:r>
        <w:rPr>
          <w:i/>
          <w:iCs/>
        </w:rPr>
        <w:t>The syllabus: A learning-centered approach (2</w:t>
      </w:r>
      <w:r w:rsidRPr="00BC7B56">
        <w:rPr>
          <w:i/>
          <w:iCs/>
          <w:vertAlign w:val="superscript"/>
        </w:rPr>
        <w:t>nd</w:t>
      </w:r>
      <w:r>
        <w:rPr>
          <w:i/>
          <w:iCs/>
        </w:rPr>
        <w:t xml:space="preserve"> ed). </w:t>
      </w:r>
      <w:r>
        <w:t>San Francisco, CA: Jossey-Bass.</w:t>
      </w:r>
    </w:p>
    <w:p w14:paraId="42855FEF" w14:textId="77777777" w:rsidR="000318BC" w:rsidRDefault="000318BC" w:rsidP="000318BC">
      <w:pPr>
        <w:pStyle w:val="References"/>
        <w:spacing w:line="240" w:lineRule="auto"/>
      </w:pPr>
    </w:p>
    <w:p w14:paraId="2F7A03F6" w14:textId="69E648D7" w:rsidR="007737A2" w:rsidRPr="001D78D0" w:rsidRDefault="007737A2" w:rsidP="000318BC">
      <w:pPr>
        <w:pStyle w:val="References"/>
        <w:spacing w:line="240" w:lineRule="auto"/>
      </w:pPr>
      <w:r>
        <w:rPr>
          <w:vanish/>
        </w:rPr>
        <w:t>Ortquist-Ahrens L Torosyan R 2009 role of facilitator in faculty learning communites: Paving the way for growth, productivity, and collegiality.</w:t>
      </w:r>
      <w:proofErr w:type="spellStart"/>
      <w:r>
        <w:t>Ortquist</w:t>
      </w:r>
      <w:proofErr w:type="spellEnd"/>
      <w:r>
        <w:t xml:space="preserve">-Ahrens, L. &amp; Torosyan, R. (2009). The role of facilitator in faculty learning communities: Paving the way for growth, productivity, and collegiality. </w:t>
      </w:r>
      <w:r>
        <w:rPr>
          <w:i/>
        </w:rPr>
        <w:t>Learning communities journal, 1</w:t>
      </w:r>
      <w:r>
        <w:t xml:space="preserve">(1), 29-62.  </w:t>
      </w:r>
      <w:r>
        <w:rPr>
          <w:vanish/>
        </w:rPr>
        <w:t>2019060121122272432398</w:t>
      </w:r>
    </w:p>
    <w:p w14:paraId="47386C73" w14:textId="77777777" w:rsidR="000318BC" w:rsidRDefault="000318BC" w:rsidP="000318BC">
      <w:pPr>
        <w:pStyle w:val="References"/>
        <w:spacing w:line="240" w:lineRule="auto"/>
      </w:pPr>
    </w:p>
    <w:p w14:paraId="76F6CDC2" w14:textId="11BE2905" w:rsidR="007737A2" w:rsidRPr="00D03D91" w:rsidRDefault="007737A2" w:rsidP="000318BC">
      <w:pPr>
        <w:pStyle w:val="References"/>
        <w:spacing w:line="240" w:lineRule="auto"/>
      </w:pPr>
      <w:r>
        <w:rPr>
          <w:vanish/>
        </w:rPr>
        <w:t>Petrone M C Ortquist-Ahrens L 2004 Facilitating faculty learning communities: A compact guide to creating change and inspiring community.</w:t>
      </w:r>
      <w:proofErr w:type="spellStart"/>
      <w:r>
        <w:t>Petrone</w:t>
      </w:r>
      <w:proofErr w:type="spellEnd"/>
      <w:r>
        <w:t xml:space="preserve">, M. C. &amp; </w:t>
      </w:r>
      <w:proofErr w:type="spellStart"/>
      <w:r>
        <w:t>Ortquist</w:t>
      </w:r>
      <w:proofErr w:type="spellEnd"/>
      <w:r>
        <w:t xml:space="preserve">-Ahrens, L. (2004). Facilitating faculty learning communities: A compact guide to creating change and inspiring community. </w:t>
      </w:r>
      <w:r>
        <w:rPr>
          <w:i/>
        </w:rPr>
        <w:t>New Directions for Teaching and Learning, 97</w:t>
      </w:r>
      <w:r>
        <w:t xml:space="preserve">, 63-69.  </w:t>
      </w:r>
      <w:r>
        <w:rPr>
          <w:vanish/>
        </w:rPr>
        <w:t>201906012114161205791235</w:t>
      </w:r>
    </w:p>
    <w:p w14:paraId="1133835A" w14:textId="77777777" w:rsidR="000318BC" w:rsidRDefault="000318BC" w:rsidP="000318BC">
      <w:pPr>
        <w:pStyle w:val="References"/>
        <w:spacing w:line="240" w:lineRule="auto"/>
      </w:pPr>
    </w:p>
    <w:p w14:paraId="754070B4" w14:textId="5AA54421" w:rsidR="007737A2" w:rsidRPr="005B1262" w:rsidRDefault="007737A2" w:rsidP="000318BC">
      <w:pPr>
        <w:pStyle w:val="References"/>
        <w:spacing w:line="240" w:lineRule="auto"/>
      </w:pPr>
      <w:r>
        <w:rPr>
          <w:vanish/>
        </w:rPr>
        <w:t>Sandell K L Wigley K Kovalchick A 2004 Developing facilitators for faculty learning communities.</w:t>
      </w:r>
      <w:proofErr w:type="spellStart"/>
      <w:r>
        <w:t>Sandell</w:t>
      </w:r>
      <w:proofErr w:type="spellEnd"/>
      <w:r>
        <w:t xml:space="preserve">, K. L., Wigley, K., &amp; </w:t>
      </w:r>
      <w:proofErr w:type="spellStart"/>
      <w:r>
        <w:t>Kovalchick</w:t>
      </w:r>
      <w:proofErr w:type="spellEnd"/>
      <w:r>
        <w:t xml:space="preserve">, A. (2004). Developing facilitators for faculty learning communities. </w:t>
      </w:r>
      <w:r>
        <w:rPr>
          <w:i/>
        </w:rPr>
        <w:t>New Directions for Teaching and Learning, 97</w:t>
      </w:r>
      <w:r>
        <w:t xml:space="preserve">, 51-62.  </w:t>
      </w:r>
      <w:r>
        <w:rPr>
          <w:vanish/>
        </w:rPr>
        <w:t>20190601211609376759648</w:t>
      </w:r>
    </w:p>
    <w:bookmarkEnd w:id="1"/>
    <w:p w14:paraId="2DA76D65" w14:textId="5E7794B1" w:rsidR="007737A2" w:rsidRPr="007737A2" w:rsidRDefault="007737A2" w:rsidP="007737A2">
      <w:pPr>
        <w:pStyle w:val="APABody"/>
        <w:ind w:firstLine="0"/>
      </w:pPr>
    </w:p>
    <w:sectPr w:rsidR="007737A2" w:rsidRPr="007737A2" w:rsidSect="007737A2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84BEB" w14:textId="77777777" w:rsidR="004D4CED" w:rsidRDefault="004D4CED" w:rsidP="007737A2">
      <w:pPr>
        <w:spacing w:line="240" w:lineRule="auto"/>
      </w:pPr>
      <w:r>
        <w:separator/>
      </w:r>
    </w:p>
  </w:endnote>
  <w:endnote w:type="continuationSeparator" w:id="0">
    <w:p w14:paraId="201B1C86" w14:textId="77777777" w:rsidR="004D4CED" w:rsidRDefault="004D4CED" w:rsidP="00773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14827" w14:textId="77777777" w:rsidR="004D4CED" w:rsidRDefault="004D4CED" w:rsidP="007737A2">
      <w:pPr>
        <w:spacing w:line="240" w:lineRule="auto"/>
      </w:pPr>
      <w:r>
        <w:separator/>
      </w:r>
    </w:p>
  </w:footnote>
  <w:footnote w:type="continuationSeparator" w:id="0">
    <w:p w14:paraId="39AF463E" w14:textId="77777777" w:rsidR="004D4CED" w:rsidRDefault="004D4CED" w:rsidP="00773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4D6DC" w14:textId="4325D870" w:rsidR="007737A2" w:rsidRPr="007737A2" w:rsidRDefault="007737A2" w:rsidP="007737A2">
    <w:pPr>
      <w:pStyle w:val="APAHeader"/>
      <w:tabs>
        <w:tab w:val="right" w:pos="9360"/>
      </w:tabs>
    </w:pPr>
    <w:r>
      <w:t>FERRIS - FLC FOR COURSE REFORM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94E54" w14:textId="532EBD6D" w:rsidR="007737A2" w:rsidRPr="007737A2" w:rsidRDefault="007737A2" w:rsidP="007737A2">
    <w:pPr>
      <w:pStyle w:val="APAHeader"/>
      <w:tabs>
        <w:tab w:val="right" w:pos="9360"/>
      </w:tabs>
    </w:pPr>
    <w:r>
      <w:t>FERRIS - FLC FOR COURSE REFORM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DI3MDE1NLE0NDBQ0lEKTi0uzszPAykwrAUAKFeBvywAAAA="/>
    <w:docVar w:name="rpsAdvancedSort" w:val="True"/>
    <w:docVar w:name="rpsAutoSort" w:val="True"/>
    <w:docVar w:name="RPSDocumentID" w:val="201910011010091199241996"/>
    <w:docVar w:name="rpsInsertCitation" w:val="True"/>
    <w:docVar w:name="rpsReferencePageCreated" w:val="True"/>
  </w:docVars>
  <w:rsids>
    <w:rsidRoot w:val="007737A2"/>
    <w:rsid w:val="000019FA"/>
    <w:rsid w:val="00002D1C"/>
    <w:rsid w:val="00022DF5"/>
    <w:rsid w:val="000318BC"/>
    <w:rsid w:val="00031DDE"/>
    <w:rsid w:val="000335FA"/>
    <w:rsid w:val="00042817"/>
    <w:rsid w:val="00042C83"/>
    <w:rsid w:val="00050F4C"/>
    <w:rsid w:val="000516E9"/>
    <w:rsid w:val="00060D79"/>
    <w:rsid w:val="000612CC"/>
    <w:rsid w:val="00073888"/>
    <w:rsid w:val="000742BB"/>
    <w:rsid w:val="00082D88"/>
    <w:rsid w:val="0008684D"/>
    <w:rsid w:val="00087F66"/>
    <w:rsid w:val="00092F86"/>
    <w:rsid w:val="000A2F44"/>
    <w:rsid w:val="000A4CF5"/>
    <w:rsid w:val="000B38F2"/>
    <w:rsid w:val="000C02B9"/>
    <w:rsid w:val="000C1150"/>
    <w:rsid w:val="000C2D2E"/>
    <w:rsid w:val="000C3310"/>
    <w:rsid w:val="000C7E6E"/>
    <w:rsid w:val="000D36F2"/>
    <w:rsid w:val="000E005A"/>
    <w:rsid w:val="000E120A"/>
    <w:rsid w:val="000E55B9"/>
    <w:rsid w:val="000F3AD6"/>
    <w:rsid w:val="000F4C51"/>
    <w:rsid w:val="000F6374"/>
    <w:rsid w:val="00113D2B"/>
    <w:rsid w:val="001213BB"/>
    <w:rsid w:val="001237D2"/>
    <w:rsid w:val="001331F2"/>
    <w:rsid w:val="001376E5"/>
    <w:rsid w:val="001475B9"/>
    <w:rsid w:val="001559C3"/>
    <w:rsid w:val="001718D6"/>
    <w:rsid w:val="00172410"/>
    <w:rsid w:val="00174194"/>
    <w:rsid w:val="0017481C"/>
    <w:rsid w:val="001759A5"/>
    <w:rsid w:val="00176A14"/>
    <w:rsid w:val="00183440"/>
    <w:rsid w:val="001878D4"/>
    <w:rsid w:val="00191914"/>
    <w:rsid w:val="00194210"/>
    <w:rsid w:val="001944C4"/>
    <w:rsid w:val="001A32AB"/>
    <w:rsid w:val="001A374A"/>
    <w:rsid w:val="001A7FBB"/>
    <w:rsid w:val="001B117C"/>
    <w:rsid w:val="001C22F1"/>
    <w:rsid w:val="001C6019"/>
    <w:rsid w:val="001C75E2"/>
    <w:rsid w:val="001E2183"/>
    <w:rsid w:val="001E5F32"/>
    <w:rsid w:val="001E78AE"/>
    <w:rsid w:val="001F0553"/>
    <w:rsid w:val="001F4B2F"/>
    <w:rsid w:val="00200BDC"/>
    <w:rsid w:val="002028C8"/>
    <w:rsid w:val="00202DB6"/>
    <w:rsid w:val="00212F99"/>
    <w:rsid w:val="002156B9"/>
    <w:rsid w:val="0021599B"/>
    <w:rsid w:val="00217531"/>
    <w:rsid w:val="00220021"/>
    <w:rsid w:val="00223876"/>
    <w:rsid w:val="002459A8"/>
    <w:rsid w:val="00246211"/>
    <w:rsid w:val="00247621"/>
    <w:rsid w:val="00251A4C"/>
    <w:rsid w:val="00256A0C"/>
    <w:rsid w:val="00262AA8"/>
    <w:rsid w:val="00270310"/>
    <w:rsid w:val="00271B5F"/>
    <w:rsid w:val="002745E4"/>
    <w:rsid w:val="00274E9A"/>
    <w:rsid w:val="00276DCF"/>
    <w:rsid w:val="00284E21"/>
    <w:rsid w:val="00294752"/>
    <w:rsid w:val="00295F78"/>
    <w:rsid w:val="00297877"/>
    <w:rsid w:val="002A0637"/>
    <w:rsid w:val="002A16A2"/>
    <w:rsid w:val="002A6CA4"/>
    <w:rsid w:val="002B0DCA"/>
    <w:rsid w:val="002B1887"/>
    <w:rsid w:val="002B1CAF"/>
    <w:rsid w:val="002B47EB"/>
    <w:rsid w:val="002B5B82"/>
    <w:rsid w:val="002C41E9"/>
    <w:rsid w:val="002C50EF"/>
    <w:rsid w:val="002C70A1"/>
    <w:rsid w:val="002D0DC3"/>
    <w:rsid w:val="002D10FE"/>
    <w:rsid w:val="002D1286"/>
    <w:rsid w:val="002D2C9F"/>
    <w:rsid w:val="002D7C3F"/>
    <w:rsid w:val="002E122D"/>
    <w:rsid w:val="002E129E"/>
    <w:rsid w:val="002E3395"/>
    <w:rsid w:val="002E7967"/>
    <w:rsid w:val="002F14E5"/>
    <w:rsid w:val="002F21E7"/>
    <w:rsid w:val="002F2A1E"/>
    <w:rsid w:val="002F60A3"/>
    <w:rsid w:val="00301A9A"/>
    <w:rsid w:val="0030220E"/>
    <w:rsid w:val="00304EAE"/>
    <w:rsid w:val="0030517D"/>
    <w:rsid w:val="003115A3"/>
    <w:rsid w:val="00313034"/>
    <w:rsid w:val="00316BC3"/>
    <w:rsid w:val="00325E3B"/>
    <w:rsid w:val="00343E37"/>
    <w:rsid w:val="0034697D"/>
    <w:rsid w:val="003509F7"/>
    <w:rsid w:val="00352313"/>
    <w:rsid w:val="003577AD"/>
    <w:rsid w:val="00357C6C"/>
    <w:rsid w:val="00365ED6"/>
    <w:rsid w:val="00370A3C"/>
    <w:rsid w:val="0037603D"/>
    <w:rsid w:val="00376232"/>
    <w:rsid w:val="003810A6"/>
    <w:rsid w:val="003848FD"/>
    <w:rsid w:val="003856D0"/>
    <w:rsid w:val="00394118"/>
    <w:rsid w:val="0039480D"/>
    <w:rsid w:val="00397A02"/>
    <w:rsid w:val="003A3E65"/>
    <w:rsid w:val="003B2841"/>
    <w:rsid w:val="003B6944"/>
    <w:rsid w:val="003B6B48"/>
    <w:rsid w:val="003B6F92"/>
    <w:rsid w:val="003B74AA"/>
    <w:rsid w:val="003B77BF"/>
    <w:rsid w:val="003C26B5"/>
    <w:rsid w:val="003C3CE6"/>
    <w:rsid w:val="003D1382"/>
    <w:rsid w:val="003D2699"/>
    <w:rsid w:val="003D7471"/>
    <w:rsid w:val="003E62FF"/>
    <w:rsid w:val="003F0FF7"/>
    <w:rsid w:val="00400497"/>
    <w:rsid w:val="00402E2C"/>
    <w:rsid w:val="004041B5"/>
    <w:rsid w:val="00404897"/>
    <w:rsid w:val="004053E5"/>
    <w:rsid w:val="004071BB"/>
    <w:rsid w:val="0041163A"/>
    <w:rsid w:val="00412BBE"/>
    <w:rsid w:val="00414D26"/>
    <w:rsid w:val="00414DD1"/>
    <w:rsid w:val="00422B40"/>
    <w:rsid w:val="00437A4C"/>
    <w:rsid w:val="00441BD3"/>
    <w:rsid w:val="00442035"/>
    <w:rsid w:val="004455E7"/>
    <w:rsid w:val="00445897"/>
    <w:rsid w:val="00447D58"/>
    <w:rsid w:val="00450813"/>
    <w:rsid w:val="00451616"/>
    <w:rsid w:val="00456247"/>
    <w:rsid w:val="00457CF0"/>
    <w:rsid w:val="00462F1D"/>
    <w:rsid w:val="00465756"/>
    <w:rsid w:val="00466D96"/>
    <w:rsid w:val="004678E5"/>
    <w:rsid w:val="00474E38"/>
    <w:rsid w:val="00475E39"/>
    <w:rsid w:val="00476D1A"/>
    <w:rsid w:val="004771EC"/>
    <w:rsid w:val="004773D6"/>
    <w:rsid w:val="004775ED"/>
    <w:rsid w:val="004810BF"/>
    <w:rsid w:val="0048168F"/>
    <w:rsid w:val="00482AA3"/>
    <w:rsid w:val="004846B4"/>
    <w:rsid w:val="00485473"/>
    <w:rsid w:val="00490BD5"/>
    <w:rsid w:val="004A0100"/>
    <w:rsid w:val="004A5BAC"/>
    <w:rsid w:val="004A7A57"/>
    <w:rsid w:val="004C2328"/>
    <w:rsid w:val="004C2C26"/>
    <w:rsid w:val="004C3AD6"/>
    <w:rsid w:val="004C7A1E"/>
    <w:rsid w:val="004D00C8"/>
    <w:rsid w:val="004D37D3"/>
    <w:rsid w:val="004D49E8"/>
    <w:rsid w:val="004D4CED"/>
    <w:rsid w:val="004D7F5B"/>
    <w:rsid w:val="004F36FB"/>
    <w:rsid w:val="004F5D23"/>
    <w:rsid w:val="0050021C"/>
    <w:rsid w:val="005118B8"/>
    <w:rsid w:val="0051341C"/>
    <w:rsid w:val="0051487D"/>
    <w:rsid w:val="00520DAC"/>
    <w:rsid w:val="00533931"/>
    <w:rsid w:val="005446B6"/>
    <w:rsid w:val="005615B1"/>
    <w:rsid w:val="00561C21"/>
    <w:rsid w:val="00580928"/>
    <w:rsid w:val="00584539"/>
    <w:rsid w:val="00586196"/>
    <w:rsid w:val="005957EF"/>
    <w:rsid w:val="005A3BE1"/>
    <w:rsid w:val="005A4E84"/>
    <w:rsid w:val="005A7813"/>
    <w:rsid w:val="005B3186"/>
    <w:rsid w:val="005B46CF"/>
    <w:rsid w:val="005C146D"/>
    <w:rsid w:val="005C379B"/>
    <w:rsid w:val="005C5CB2"/>
    <w:rsid w:val="005D3B2D"/>
    <w:rsid w:val="005D4A4B"/>
    <w:rsid w:val="005D665F"/>
    <w:rsid w:val="005E25A6"/>
    <w:rsid w:val="005F12FE"/>
    <w:rsid w:val="005F2ABC"/>
    <w:rsid w:val="005F5AA3"/>
    <w:rsid w:val="006078FF"/>
    <w:rsid w:val="006139F3"/>
    <w:rsid w:val="00613A49"/>
    <w:rsid w:val="006140C0"/>
    <w:rsid w:val="00615C39"/>
    <w:rsid w:val="00624702"/>
    <w:rsid w:val="00625868"/>
    <w:rsid w:val="00626DB6"/>
    <w:rsid w:val="00627A1D"/>
    <w:rsid w:val="006318EF"/>
    <w:rsid w:val="00637DC8"/>
    <w:rsid w:val="00644306"/>
    <w:rsid w:val="00654D6A"/>
    <w:rsid w:val="00655A0F"/>
    <w:rsid w:val="0065623A"/>
    <w:rsid w:val="0067086E"/>
    <w:rsid w:val="00680FED"/>
    <w:rsid w:val="00682328"/>
    <w:rsid w:val="00683AF9"/>
    <w:rsid w:val="00691841"/>
    <w:rsid w:val="006956C4"/>
    <w:rsid w:val="006A2637"/>
    <w:rsid w:val="006A6EEC"/>
    <w:rsid w:val="006B044A"/>
    <w:rsid w:val="006B2344"/>
    <w:rsid w:val="006B2CA9"/>
    <w:rsid w:val="006B4317"/>
    <w:rsid w:val="006C0299"/>
    <w:rsid w:val="006C40F2"/>
    <w:rsid w:val="006C56BC"/>
    <w:rsid w:val="006C78C2"/>
    <w:rsid w:val="006C7E12"/>
    <w:rsid w:val="006F006B"/>
    <w:rsid w:val="006F727B"/>
    <w:rsid w:val="006F7783"/>
    <w:rsid w:val="00701CAE"/>
    <w:rsid w:val="007028D6"/>
    <w:rsid w:val="0070607A"/>
    <w:rsid w:val="00707DE9"/>
    <w:rsid w:val="00713EA5"/>
    <w:rsid w:val="007219A9"/>
    <w:rsid w:val="00721B57"/>
    <w:rsid w:val="00722AC9"/>
    <w:rsid w:val="00725223"/>
    <w:rsid w:val="00725E00"/>
    <w:rsid w:val="007266B4"/>
    <w:rsid w:val="00740249"/>
    <w:rsid w:val="00750FBF"/>
    <w:rsid w:val="00754ACE"/>
    <w:rsid w:val="00755EDF"/>
    <w:rsid w:val="0075774C"/>
    <w:rsid w:val="0076338B"/>
    <w:rsid w:val="00767F84"/>
    <w:rsid w:val="00770708"/>
    <w:rsid w:val="00770747"/>
    <w:rsid w:val="007737A2"/>
    <w:rsid w:val="00784ED5"/>
    <w:rsid w:val="007862FE"/>
    <w:rsid w:val="007918BC"/>
    <w:rsid w:val="00796A9F"/>
    <w:rsid w:val="007A4ACD"/>
    <w:rsid w:val="007A6DEE"/>
    <w:rsid w:val="007A70AE"/>
    <w:rsid w:val="007B1645"/>
    <w:rsid w:val="007B5021"/>
    <w:rsid w:val="007C2D2D"/>
    <w:rsid w:val="007C2E99"/>
    <w:rsid w:val="007C581D"/>
    <w:rsid w:val="007C5ECC"/>
    <w:rsid w:val="007C7DEB"/>
    <w:rsid w:val="007D02C8"/>
    <w:rsid w:val="007E309A"/>
    <w:rsid w:val="007E7533"/>
    <w:rsid w:val="007E7753"/>
    <w:rsid w:val="007F192D"/>
    <w:rsid w:val="007F2D58"/>
    <w:rsid w:val="007F3E3F"/>
    <w:rsid w:val="007F6354"/>
    <w:rsid w:val="00800F11"/>
    <w:rsid w:val="00804E43"/>
    <w:rsid w:val="00811A33"/>
    <w:rsid w:val="0081601A"/>
    <w:rsid w:val="00824BAA"/>
    <w:rsid w:val="00827069"/>
    <w:rsid w:val="008371E6"/>
    <w:rsid w:val="00842EDC"/>
    <w:rsid w:val="00844361"/>
    <w:rsid w:val="00851EDE"/>
    <w:rsid w:val="00862634"/>
    <w:rsid w:val="00863BC3"/>
    <w:rsid w:val="00864768"/>
    <w:rsid w:val="0087246A"/>
    <w:rsid w:val="00882891"/>
    <w:rsid w:val="00890A7F"/>
    <w:rsid w:val="00893447"/>
    <w:rsid w:val="00895943"/>
    <w:rsid w:val="00895E44"/>
    <w:rsid w:val="00897684"/>
    <w:rsid w:val="0089799F"/>
    <w:rsid w:val="008A1CA4"/>
    <w:rsid w:val="008A24EB"/>
    <w:rsid w:val="008A61D6"/>
    <w:rsid w:val="008B6651"/>
    <w:rsid w:val="008C23C6"/>
    <w:rsid w:val="008C6578"/>
    <w:rsid w:val="008C6976"/>
    <w:rsid w:val="008D6B01"/>
    <w:rsid w:val="008E17CF"/>
    <w:rsid w:val="008E2E86"/>
    <w:rsid w:val="008F1AF4"/>
    <w:rsid w:val="00904E31"/>
    <w:rsid w:val="0090565A"/>
    <w:rsid w:val="00906F2D"/>
    <w:rsid w:val="0091137C"/>
    <w:rsid w:val="00913A5B"/>
    <w:rsid w:val="0091433F"/>
    <w:rsid w:val="00922EE1"/>
    <w:rsid w:val="00926320"/>
    <w:rsid w:val="0093044D"/>
    <w:rsid w:val="00931B3A"/>
    <w:rsid w:val="00932E21"/>
    <w:rsid w:val="00932E3D"/>
    <w:rsid w:val="0094199C"/>
    <w:rsid w:val="0094273D"/>
    <w:rsid w:val="009440CE"/>
    <w:rsid w:val="00950F9F"/>
    <w:rsid w:val="00951C2E"/>
    <w:rsid w:val="009528C4"/>
    <w:rsid w:val="00955A9F"/>
    <w:rsid w:val="00962DCE"/>
    <w:rsid w:val="0096378B"/>
    <w:rsid w:val="0096409D"/>
    <w:rsid w:val="00964571"/>
    <w:rsid w:val="00971234"/>
    <w:rsid w:val="0097360F"/>
    <w:rsid w:val="009818ED"/>
    <w:rsid w:val="00984D8E"/>
    <w:rsid w:val="00986AC5"/>
    <w:rsid w:val="009951F9"/>
    <w:rsid w:val="0099744A"/>
    <w:rsid w:val="00997653"/>
    <w:rsid w:val="009A5382"/>
    <w:rsid w:val="009A756C"/>
    <w:rsid w:val="009B1EE7"/>
    <w:rsid w:val="009C1386"/>
    <w:rsid w:val="009D3FAA"/>
    <w:rsid w:val="009D472A"/>
    <w:rsid w:val="009E0B52"/>
    <w:rsid w:val="009E0F54"/>
    <w:rsid w:val="009E6EAC"/>
    <w:rsid w:val="009E7B7E"/>
    <w:rsid w:val="009F0292"/>
    <w:rsid w:val="009F66AD"/>
    <w:rsid w:val="00A02744"/>
    <w:rsid w:val="00A078ED"/>
    <w:rsid w:val="00A12C69"/>
    <w:rsid w:val="00A163C5"/>
    <w:rsid w:val="00A17EF7"/>
    <w:rsid w:val="00A237E9"/>
    <w:rsid w:val="00A24C64"/>
    <w:rsid w:val="00A25C8E"/>
    <w:rsid w:val="00A35918"/>
    <w:rsid w:val="00A403BA"/>
    <w:rsid w:val="00A40B56"/>
    <w:rsid w:val="00A44614"/>
    <w:rsid w:val="00A556DB"/>
    <w:rsid w:val="00A568D9"/>
    <w:rsid w:val="00A613C0"/>
    <w:rsid w:val="00A65683"/>
    <w:rsid w:val="00A710D7"/>
    <w:rsid w:val="00A728CC"/>
    <w:rsid w:val="00A73953"/>
    <w:rsid w:val="00A73BF3"/>
    <w:rsid w:val="00A745AC"/>
    <w:rsid w:val="00A828C3"/>
    <w:rsid w:val="00A83864"/>
    <w:rsid w:val="00A8499B"/>
    <w:rsid w:val="00A902E5"/>
    <w:rsid w:val="00A924BF"/>
    <w:rsid w:val="00A96104"/>
    <w:rsid w:val="00A96184"/>
    <w:rsid w:val="00AA7289"/>
    <w:rsid w:val="00AB102D"/>
    <w:rsid w:val="00AD0148"/>
    <w:rsid w:val="00AD5496"/>
    <w:rsid w:val="00AE0FF3"/>
    <w:rsid w:val="00AE1F28"/>
    <w:rsid w:val="00AF2B8E"/>
    <w:rsid w:val="00AF5148"/>
    <w:rsid w:val="00B03C52"/>
    <w:rsid w:val="00B048AD"/>
    <w:rsid w:val="00B06D33"/>
    <w:rsid w:val="00B071A8"/>
    <w:rsid w:val="00B305AC"/>
    <w:rsid w:val="00B321D5"/>
    <w:rsid w:val="00B33180"/>
    <w:rsid w:val="00B35F01"/>
    <w:rsid w:val="00B417F8"/>
    <w:rsid w:val="00B43E56"/>
    <w:rsid w:val="00B61A2C"/>
    <w:rsid w:val="00B67C3B"/>
    <w:rsid w:val="00B700FC"/>
    <w:rsid w:val="00B70BB4"/>
    <w:rsid w:val="00B81376"/>
    <w:rsid w:val="00B82608"/>
    <w:rsid w:val="00B83549"/>
    <w:rsid w:val="00B8683C"/>
    <w:rsid w:val="00B90061"/>
    <w:rsid w:val="00B90708"/>
    <w:rsid w:val="00B92512"/>
    <w:rsid w:val="00B92C0E"/>
    <w:rsid w:val="00B92C0F"/>
    <w:rsid w:val="00B95906"/>
    <w:rsid w:val="00B96769"/>
    <w:rsid w:val="00BA0DDB"/>
    <w:rsid w:val="00BA3362"/>
    <w:rsid w:val="00BA4B61"/>
    <w:rsid w:val="00BA4E30"/>
    <w:rsid w:val="00BA624B"/>
    <w:rsid w:val="00BB12F8"/>
    <w:rsid w:val="00BB6D0E"/>
    <w:rsid w:val="00BC0E1B"/>
    <w:rsid w:val="00BC3D36"/>
    <w:rsid w:val="00BD1F97"/>
    <w:rsid w:val="00BD2236"/>
    <w:rsid w:val="00BE1B47"/>
    <w:rsid w:val="00BE2EBB"/>
    <w:rsid w:val="00BE3820"/>
    <w:rsid w:val="00BE6185"/>
    <w:rsid w:val="00BF3DCF"/>
    <w:rsid w:val="00BF42DE"/>
    <w:rsid w:val="00C06306"/>
    <w:rsid w:val="00C0797A"/>
    <w:rsid w:val="00C20074"/>
    <w:rsid w:val="00C213EE"/>
    <w:rsid w:val="00C216A8"/>
    <w:rsid w:val="00C21D95"/>
    <w:rsid w:val="00C34BDF"/>
    <w:rsid w:val="00C35CF5"/>
    <w:rsid w:val="00C41EC8"/>
    <w:rsid w:val="00C43381"/>
    <w:rsid w:val="00C4549E"/>
    <w:rsid w:val="00C5546A"/>
    <w:rsid w:val="00C57211"/>
    <w:rsid w:val="00C63248"/>
    <w:rsid w:val="00C77782"/>
    <w:rsid w:val="00C85762"/>
    <w:rsid w:val="00C90E89"/>
    <w:rsid w:val="00CA62B5"/>
    <w:rsid w:val="00CB3E0B"/>
    <w:rsid w:val="00CC51DD"/>
    <w:rsid w:val="00CC547D"/>
    <w:rsid w:val="00CC557E"/>
    <w:rsid w:val="00CC5DD3"/>
    <w:rsid w:val="00CD3791"/>
    <w:rsid w:val="00CD5E47"/>
    <w:rsid w:val="00CD6DB4"/>
    <w:rsid w:val="00CE1217"/>
    <w:rsid w:val="00CE316E"/>
    <w:rsid w:val="00CE7436"/>
    <w:rsid w:val="00CF31FF"/>
    <w:rsid w:val="00CF382C"/>
    <w:rsid w:val="00D0465E"/>
    <w:rsid w:val="00D055BB"/>
    <w:rsid w:val="00D05F18"/>
    <w:rsid w:val="00D135EC"/>
    <w:rsid w:val="00D1416F"/>
    <w:rsid w:val="00D174AC"/>
    <w:rsid w:val="00D25891"/>
    <w:rsid w:val="00D301BB"/>
    <w:rsid w:val="00D32CD2"/>
    <w:rsid w:val="00D35AB6"/>
    <w:rsid w:val="00D41BFA"/>
    <w:rsid w:val="00D42755"/>
    <w:rsid w:val="00D47AB7"/>
    <w:rsid w:val="00D523E7"/>
    <w:rsid w:val="00D55F3F"/>
    <w:rsid w:val="00D5666D"/>
    <w:rsid w:val="00D60E47"/>
    <w:rsid w:val="00D644B6"/>
    <w:rsid w:val="00D64F48"/>
    <w:rsid w:val="00D66EAC"/>
    <w:rsid w:val="00D73913"/>
    <w:rsid w:val="00D87F43"/>
    <w:rsid w:val="00D955C1"/>
    <w:rsid w:val="00D95D07"/>
    <w:rsid w:val="00DA314B"/>
    <w:rsid w:val="00DB33AA"/>
    <w:rsid w:val="00DB688C"/>
    <w:rsid w:val="00DB690E"/>
    <w:rsid w:val="00DB6DD6"/>
    <w:rsid w:val="00DB7A25"/>
    <w:rsid w:val="00DC057C"/>
    <w:rsid w:val="00DC09DE"/>
    <w:rsid w:val="00DC0A82"/>
    <w:rsid w:val="00DC0BC4"/>
    <w:rsid w:val="00DC1382"/>
    <w:rsid w:val="00DC796C"/>
    <w:rsid w:val="00DD05C9"/>
    <w:rsid w:val="00DE34D3"/>
    <w:rsid w:val="00DE6B0E"/>
    <w:rsid w:val="00DE77C4"/>
    <w:rsid w:val="00DF328E"/>
    <w:rsid w:val="00DF7B95"/>
    <w:rsid w:val="00E021C1"/>
    <w:rsid w:val="00E0235C"/>
    <w:rsid w:val="00E10050"/>
    <w:rsid w:val="00E15DEA"/>
    <w:rsid w:val="00E16A90"/>
    <w:rsid w:val="00E17030"/>
    <w:rsid w:val="00E23844"/>
    <w:rsid w:val="00E25B95"/>
    <w:rsid w:val="00E279CF"/>
    <w:rsid w:val="00E349A6"/>
    <w:rsid w:val="00E361C4"/>
    <w:rsid w:val="00E365AA"/>
    <w:rsid w:val="00E36989"/>
    <w:rsid w:val="00E37248"/>
    <w:rsid w:val="00E40276"/>
    <w:rsid w:val="00E40B6C"/>
    <w:rsid w:val="00E41938"/>
    <w:rsid w:val="00E41B6E"/>
    <w:rsid w:val="00E45C36"/>
    <w:rsid w:val="00E5114F"/>
    <w:rsid w:val="00E53656"/>
    <w:rsid w:val="00E66C15"/>
    <w:rsid w:val="00E74725"/>
    <w:rsid w:val="00E77087"/>
    <w:rsid w:val="00E82A5E"/>
    <w:rsid w:val="00E856D5"/>
    <w:rsid w:val="00EB24B1"/>
    <w:rsid w:val="00EB26C0"/>
    <w:rsid w:val="00EB3CC0"/>
    <w:rsid w:val="00EB4356"/>
    <w:rsid w:val="00EC2FC0"/>
    <w:rsid w:val="00EC5793"/>
    <w:rsid w:val="00EC5D4A"/>
    <w:rsid w:val="00EC6088"/>
    <w:rsid w:val="00ED157B"/>
    <w:rsid w:val="00ED1FF3"/>
    <w:rsid w:val="00ED5111"/>
    <w:rsid w:val="00EE5878"/>
    <w:rsid w:val="00EF039A"/>
    <w:rsid w:val="00EF0EF4"/>
    <w:rsid w:val="00EF3738"/>
    <w:rsid w:val="00EF420B"/>
    <w:rsid w:val="00EF42AF"/>
    <w:rsid w:val="00EF6AF7"/>
    <w:rsid w:val="00F00082"/>
    <w:rsid w:val="00F04827"/>
    <w:rsid w:val="00F064DD"/>
    <w:rsid w:val="00F158DA"/>
    <w:rsid w:val="00F2182E"/>
    <w:rsid w:val="00F2404A"/>
    <w:rsid w:val="00F24B97"/>
    <w:rsid w:val="00F26A02"/>
    <w:rsid w:val="00F317D8"/>
    <w:rsid w:val="00F37F3A"/>
    <w:rsid w:val="00F46D23"/>
    <w:rsid w:val="00F50EF5"/>
    <w:rsid w:val="00F52469"/>
    <w:rsid w:val="00F5561C"/>
    <w:rsid w:val="00F641A2"/>
    <w:rsid w:val="00F64A3D"/>
    <w:rsid w:val="00F91DD1"/>
    <w:rsid w:val="00F93F6C"/>
    <w:rsid w:val="00F97F20"/>
    <w:rsid w:val="00FA5D11"/>
    <w:rsid w:val="00FB142D"/>
    <w:rsid w:val="00FB2F60"/>
    <w:rsid w:val="00FB53C5"/>
    <w:rsid w:val="00FD23B1"/>
    <w:rsid w:val="00FD40BC"/>
    <w:rsid w:val="00FE1DA5"/>
    <w:rsid w:val="00FE37FF"/>
    <w:rsid w:val="00FE3D15"/>
    <w:rsid w:val="00FE3E83"/>
    <w:rsid w:val="00FE4C27"/>
    <w:rsid w:val="00FE6CB9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746B1"/>
  <w15:docId w15:val="{9BD7210B-5F8A-4FB6-87B3-3F852B5F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F3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APACenteredText"/>
    <w:next w:val="Normal"/>
    <w:link w:val="Heading1Char"/>
    <w:uiPriority w:val="9"/>
    <w:qFormat/>
    <w:rsid w:val="00A73BF3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NoIndent"/>
    <w:next w:val="Normal"/>
    <w:link w:val="Heading2Char"/>
    <w:uiPriority w:val="9"/>
    <w:semiHidden/>
    <w:unhideWhenUsed/>
    <w:qFormat/>
    <w:rsid w:val="00A73BF3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Body">
    <w:name w:val="APABody"/>
    <w:basedOn w:val="Normal"/>
    <w:qFormat/>
    <w:rsid w:val="00A73BF3"/>
    <w:pPr>
      <w:ind w:firstLine="720"/>
    </w:pPr>
  </w:style>
  <w:style w:type="paragraph" w:customStyle="1" w:styleId="APACenteredText">
    <w:name w:val="APACenteredText"/>
    <w:basedOn w:val="Normal"/>
    <w:next w:val="APABody"/>
    <w:qFormat/>
    <w:rsid w:val="00A73BF3"/>
    <w:pPr>
      <w:jc w:val="center"/>
    </w:pPr>
  </w:style>
  <w:style w:type="paragraph" w:customStyle="1" w:styleId="NormalNoIndent">
    <w:name w:val="NormalNoIndent"/>
    <w:basedOn w:val="Normal"/>
    <w:qFormat/>
    <w:rsid w:val="00A73BF3"/>
  </w:style>
  <w:style w:type="paragraph" w:customStyle="1" w:styleId="APAHeader">
    <w:name w:val="APAHeader"/>
    <w:basedOn w:val="NormalNoIndent"/>
    <w:qFormat/>
    <w:rsid w:val="00A73BF3"/>
    <w:pPr>
      <w:spacing w:line="240" w:lineRule="auto"/>
    </w:pPr>
  </w:style>
  <w:style w:type="paragraph" w:customStyle="1" w:styleId="APAHeading1">
    <w:name w:val="APAHeading1"/>
    <w:basedOn w:val="APACenteredText"/>
    <w:next w:val="APABody"/>
    <w:qFormat/>
    <w:rsid w:val="00A73BF3"/>
    <w:rPr>
      <w:b/>
    </w:rPr>
  </w:style>
  <w:style w:type="paragraph" w:customStyle="1" w:styleId="APAHeading2">
    <w:name w:val="APAHeading2"/>
    <w:basedOn w:val="NormalNoIndent"/>
    <w:next w:val="APABody"/>
    <w:qFormat/>
    <w:rsid w:val="00A73BF3"/>
    <w:rPr>
      <w:b/>
    </w:rPr>
  </w:style>
  <w:style w:type="paragraph" w:customStyle="1" w:styleId="APAHeading3">
    <w:name w:val="APAHeading3"/>
    <w:basedOn w:val="Normal"/>
    <w:next w:val="APABody"/>
    <w:qFormat/>
    <w:rsid w:val="00A73BF3"/>
    <w:rPr>
      <w:b/>
    </w:rPr>
  </w:style>
  <w:style w:type="character" w:customStyle="1" w:styleId="APAHeading4">
    <w:name w:val="APAHeading4"/>
    <w:uiPriority w:val="1"/>
    <w:qFormat/>
    <w:rsid w:val="00A73BF3"/>
    <w:rPr>
      <w:i/>
    </w:rPr>
  </w:style>
  <w:style w:type="character" w:customStyle="1" w:styleId="APAHeading5">
    <w:name w:val="APAHeading5"/>
    <w:uiPriority w:val="1"/>
    <w:qFormat/>
    <w:rsid w:val="00A73BF3"/>
    <w:rPr>
      <w:i/>
    </w:rPr>
  </w:style>
  <w:style w:type="paragraph" w:customStyle="1" w:styleId="APALongQuote">
    <w:name w:val="APALongQuote"/>
    <w:basedOn w:val="Normal"/>
    <w:rsid w:val="00A73BF3"/>
    <w:pPr>
      <w:ind w:left="720"/>
    </w:pPr>
  </w:style>
  <w:style w:type="paragraph" w:customStyle="1" w:styleId="APALongQuoteMore">
    <w:name w:val="APALongQuoteMore"/>
    <w:basedOn w:val="Normal"/>
    <w:rsid w:val="00A73BF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73B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BF3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73B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BF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3BF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BF3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References">
    <w:name w:val="References"/>
    <w:basedOn w:val="Normal"/>
    <w:qFormat/>
    <w:rsid w:val="00A73BF3"/>
    <w:pPr>
      <w:ind w:left="720" w:hanging="720"/>
    </w:pPr>
  </w:style>
  <w:style w:type="character" w:styleId="Hyperlink">
    <w:name w:val="Hyperlink"/>
    <w:basedOn w:val="DefaultParagraphFont"/>
    <w:uiPriority w:val="99"/>
    <w:unhideWhenUsed/>
    <w:rsid w:val="00031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alinginnovation.org/pathways-to-faculty-learning-and-pedagogical-improvemen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een\appdata\roaming\Microsoft\Templates\Apa6thE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Apa6thEd.wiz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Reference Point Software, LLC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Bishop</dc:creator>
  <cp:keywords>APA</cp:keywords>
  <cp:lastModifiedBy>Victor I Piercey</cp:lastModifiedBy>
  <cp:revision>2</cp:revision>
  <dcterms:created xsi:type="dcterms:W3CDTF">2019-10-09T00:15:00Z</dcterms:created>
  <dcterms:modified xsi:type="dcterms:W3CDTF">2019-10-09T00:15:00Z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Reference Point Software, LLC</vt:lpwstr>
  </property>
</Properties>
</file>